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6400" cy="846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7485608" name=""/>
                        <pic:cNvPicPr/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 rot="0" flipH="0" flipV="0">
                          <a:off x="0" y="0"/>
                          <a:ext cx="716395" cy="84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41pt;height:66.61pt;mso-wrap-distance-left:0.00pt;mso-wrap-distance-top:0.00pt;mso-wrap-distance-right:0.00pt;mso-wrap-distance-bottom:0.00pt;rotation:0;" stroked="false">
                <v:path textboxrect="0,0,0,0"/>
              </v:shape>
            </w:pict>
          </mc:Fallback>
        </mc:AlternateContent>
      </w:r>
      <w:r/>
    </w:p>
    <w:p>
      <w:pPr>
        <w:ind w:left="0" w:right="0" w:firstLine="0"/>
        <w:jc w:val="center"/>
        <w:spacing w:before="272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17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</w:t>
      </w:r>
      <w:r>
        <w:rPr>
          <w:bCs/>
          <w:sz w:val="28"/>
          <w:szCs w:val="28"/>
        </w:rPr>
        <w:t xml:space="preserve">ий</w:t>
      </w:r>
      <w:r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на 2024 – 2028 годы, утвержденную п</w:t>
      </w:r>
      <w:r>
        <w:rPr>
          <w:sz w:val="28"/>
          <w:szCs w:val="28"/>
        </w:rPr>
        <w:t xml:space="preserve">остановлением правительства Еврейской автономной области от 07.12.2023 № 526-пп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на 2024 – 2028 годы, утвержденную п</w:t>
      </w:r>
      <w:r>
        <w:rPr>
          <w:sz w:val="28"/>
          <w:szCs w:val="28"/>
        </w:rPr>
        <w:t xml:space="preserve">остановлением правительства Еврейской автономной области от 07.12.2023 № 526-пп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ru-RU"/>
        </w:rPr>
        <w:t xml:space="preserve">«</w:t>
      </w:r>
      <w:r>
        <w:rPr>
          <w:bCs/>
          <w:sz w:val="28"/>
          <w:szCs w:val="28"/>
          <w:lang w:val="en-US"/>
        </w:rPr>
        <w:t xml:space="preserve">Об утверждении государственной программы Еврейской автономной области </w:t>
      </w:r>
      <w:r>
        <w:rPr>
          <w:bCs/>
          <w:sz w:val="28"/>
          <w:szCs w:val="28"/>
          <w:lang w:val="ru-RU"/>
        </w:rPr>
        <w:t xml:space="preserve">«</w:t>
      </w:r>
      <w:r>
        <w:rPr>
          <w:bCs/>
          <w:sz w:val="28"/>
          <w:szCs w:val="28"/>
          <w:lang w:val="en-US"/>
        </w:rPr>
        <w:t xml:space="preserve">Модернизация объектов коммунальной инфраструктуры в Еврейской автономной области</w:t>
      </w:r>
      <w:r>
        <w:rPr>
          <w:bCs/>
          <w:sz w:val="28"/>
          <w:szCs w:val="28"/>
          <w:lang w:val="ru-RU"/>
        </w:rPr>
        <w:t xml:space="preserve">»</w:t>
      </w:r>
      <w:r>
        <w:rPr>
          <w:bCs/>
          <w:sz w:val="28"/>
          <w:szCs w:val="28"/>
          <w:lang w:val="en-US"/>
        </w:rPr>
        <w:t xml:space="preserve"> на 2024 – 2028 годы</w:t>
      </w:r>
      <w:r>
        <w:rPr>
          <w:bCs/>
          <w:sz w:val="28"/>
          <w:szCs w:val="28"/>
          <w:lang w:val="ru-RU"/>
        </w:rPr>
        <w:t xml:space="preserve"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hint="default" w:ascii="Times New Roman" w:hAnsi="Times New Roman" w:eastAsia="Cambria Math" w:cs="Times New Roman"/>
          <w:sz w:val="28"/>
          <w:szCs w:val="28"/>
        </w:rPr>
        <w:t xml:space="preserve">Ⅱ</w:t>
      </w:r>
      <w:r>
        <w:rPr>
          <w:rFonts w:ascii="Times New Roman" w:hAnsi="Times New Roman" w:cs="Times New Roman"/>
          <w:sz w:val="28"/>
          <w:szCs w:val="28"/>
        </w:rPr>
        <w:t xml:space="preserve"> «Пас</w:t>
      </w:r>
      <w:r>
        <w:rPr>
          <w:sz w:val="28"/>
          <w:szCs w:val="28"/>
        </w:rPr>
        <w:t xml:space="preserve">порт государственной программы»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с</w:t>
      </w:r>
      <w:r>
        <w:rPr>
          <w:sz w:val="28"/>
          <w:szCs w:val="28"/>
          <w:highlight w:val="none"/>
        </w:rPr>
        <w:t xml:space="preserve">троку</w:t>
      </w:r>
      <w:r>
        <w:rPr>
          <w:highlight w:val="none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»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подраздела 1 «</w:t>
      </w:r>
      <w:r>
        <w:rPr>
          <w:sz w:val="28"/>
          <w:szCs w:val="28"/>
          <w:highlight w:val="none"/>
        </w:rPr>
        <w:t xml:space="preserve">Основные положения</w:t>
      </w:r>
      <w:r>
        <w:rPr>
          <w:sz w:val="28"/>
          <w:szCs w:val="28"/>
          <w:highlight w:val="none"/>
        </w:rPr>
        <w:t xml:space="preserve">» изложить в следующей редакции:</w:t>
      </w:r>
      <w:r/>
    </w:p>
    <w:p>
      <w:pPr>
        <w:pStyle w:val="917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709"/>
        <w:gridCol w:w="1559"/>
        <w:gridCol w:w="1417"/>
        <w:gridCol w:w="1276"/>
        <w:gridCol w:w="1134"/>
        <w:gridCol w:w="162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ам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6174465,9 тыс. рублей, в том числе за счет средств областного бюджета – 3247780,9 тыс. рублей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*: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(тыс. рублей)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Федераль-ный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муници-пальных образова-ний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Внебюд-жетные источ-ники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878099,3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1633482,9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2511582,2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1028139,2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398559,2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1426698,4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1020446,5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425985,4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1446431,9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Ито-го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2926685,0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3247780,9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6174465,9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подразделе 4 «Финансовое обеспечение государственной программы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»: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подразделе 4.1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 счет средств областного бюджета»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строку: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04"/>
        <w:gridCol w:w="2976"/>
        <w:gridCol w:w="850"/>
        <w:gridCol w:w="709"/>
        <w:gridCol w:w="1417"/>
        <w:gridCol w:w="1276"/>
        <w:gridCol w:w="1276"/>
        <w:gridCol w:w="1134"/>
        <w:gridCol w:w="1134"/>
        <w:gridCol w:w="1134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финансового обеспечения по годам реализации, тыс. рублей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РзПр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«Государствен-ная программа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3244180,9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1629882,9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398559,2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425985,4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0402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1916836,6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481931,8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511,3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342,10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230636,0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155285,0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10385,3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64965,7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Государственные предприятия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486257,5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486257,5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Акционерное общество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492289,4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492289,4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0,0»;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04"/>
        <w:gridCol w:w="2976"/>
        <w:gridCol w:w="850"/>
        <w:gridCol w:w="709"/>
        <w:gridCol w:w="1417"/>
        <w:gridCol w:w="1276"/>
        <w:gridCol w:w="1276"/>
        <w:gridCol w:w="1134"/>
        <w:gridCol w:w="1134"/>
        <w:gridCol w:w="1134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финансового обеспечения по годам реализации, тыс. рублей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РзПр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«Государствен-ная программа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3247780,9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1633482,9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398559,2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425985,4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0402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1916836,6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481931,8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121250,1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17377,1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511,3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342,1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328,4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230636,0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155285,0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10375,3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64806,5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Государственные предприятия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486257,5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486257,5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Акционерное общество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492289,4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492289,4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0,0»;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-142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  <w:tab/>
        <w:tab/>
        <w:t xml:space="preserve">строки: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89"/>
        <w:gridCol w:w="1984"/>
        <w:gridCol w:w="567"/>
        <w:gridCol w:w="709"/>
        <w:gridCol w:w="1417"/>
        <w:gridCol w:w="1276"/>
        <w:gridCol w:w="1134"/>
        <w:gridCol w:w="992"/>
        <w:gridCol w:w="850"/>
        <w:gridCol w:w="992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«Комплекс процессных мероприятий «Финансовое обеспечение уставной деятельности некоммерческой организации - фонда «Региональный опера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0600200000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«Имущественный взнос в некоммерческую организацию - фонд «Региональный оператор по проведению капитального ремонта многоквартирных домов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0600240834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ства и жилищно-коммунального хозяйства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0600240834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-142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заменить строками: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89"/>
        <w:gridCol w:w="1984"/>
        <w:gridCol w:w="567"/>
        <w:gridCol w:w="709"/>
        <w:gridCol w:w="1417"/>
        <w:gridCol w:w="1276"/>
        <w:gridCol w:w="1134"/>
        <w:gridCol w:w="992"/>
        <w:gridCol w:w="850"/>
        <w:gridCol w:w="992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«Финансовое обеспечение уставной деятельности некоммерческой организации - фонда «Региональный опера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0600200000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121250,1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17377,1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«Имущественный взнос в некоммерческую организацию - фонд «Региональный оператор по проведению капитального ремонта многоквартирных домов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0600240834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121250,1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17377,1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ства и жилищно-коммунального хозяйства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0600240834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121250,1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17377,1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42292,5»;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ab/>
        <w:t xml:space="preserve">строку: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89"/>
        <w:gridCol w:w="1984"/>
        <w:gridCol w:w="567"/>
        <w:gridCol w:w="567"/>
        <w:gridCol w:w="1559"/>
        <w:gridCol w:w="1276"/>
        <w:gridCol w:w="992"/>
        <w:gridCol w:w="1134"/>
        <w:gridCol w:w="709"/>
        <w:gridCol w:w="1134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«Мероприятие 4 «Технологическое присоединение к инженерным сетям водоснабжения, водоотведения, электроснабжения площадки «ДВ КВАРТАЛ» (ТОР «Амуро-Хинганская»)»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18513,1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13031,8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511,3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342,1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18001,8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4108,0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12862,6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заменить строками: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89"/>
        <w:gridCol w:w="1984"/>
        <w:gridCol w:w="567"/>
        <w:gridCol w:w="567"/>
        <w:gridCol w:w="1559"/>
        <w:gridCol w:w="1276"/>
        <w:gridCol w:w="992"/>
        <w:gridCol w:w="1134"/>
        <w:gridCol w:w="1133"/>
        <w:gridCol w:w="710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«Мероприятие 4 «Технологическое присоединение к инженерным сетям водоснабжения, водоотведения, электроснабжения площадки «ДВ КВАРТАЛ» (ТОР «Амуро-Хинганская»)»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18513,1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4450,1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13031,8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511,3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342,1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159,2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  <w:trHeight w:val="1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18001,8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4108,0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12862,6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89"/>
        <w:gridCol w:w="1984"/>
        <w:gridCol w:w="567"/>
        <w:gridCol w:w="567"/>
        <w:gridCol w:w="1559"/>
        <w:gridCol w:w="1276"/>
        <w:gridCol w:w="992"/>
        <w:gridCol w:w="1134"/>
        <w:gridCol w:w="1133"/>
        <w:gridCol w:w="710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«Мероприятие 4.1 «Технологическое присоединение к инженерным сетям водоснабжения, водоотведения площадки «ДВ КВАРТАЛ» (ТОР «Амуро-Хинганская»)»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511,3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342,1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159,2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  <w:trHeight w:val="2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511,3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342,1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159,2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«Мероприятие 4.2 «Технологическое присоединение к инженерным сетям  электроснабжения площадки «ДВ КВАРТАЛ» (ТОР «Амуро-Хинганская»)»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18001,8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4108,0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12862,6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1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18001,8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4108,0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12862,6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0,0»;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подразделе 4.2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за счет средств областного бюджета и прогнозная оценка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привлекаемых на реализацию ее целей средств федерального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бюджета, бюджетов муниципальных образований области,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внебюджетных источников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»: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строку: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88"/>
        <w:gridCol w:w="4535"/>
        <w:gridCol w:w="1701"/>
        <w:gridCol w:w="1417"/>
        <w:gridCol w:w="1276"/>
        <w:gridCol w:w="1417"/>
        <w:gridCol w:w="1134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«Государственная программа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6170865,9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2507982,2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1426698,5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1446431,9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3244180,9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1629882,9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398559,2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42985,4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2926685,0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878099,3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1028139,3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1020446,5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2133"/>
        <w:gridCol w:w="4535"/>
        <w:gridCol w:w="1417"/>
        <w:gridCol w:w="1559"/>
        <w:gridCol w:w="1417"/>
        <w:gridCol w:w="1417"/>
        <w:gridCol w:w="1134"/>
        <w:gridCol w:w="1134"/>
      </w:tblGrid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«Государственная программа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6174465,9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2511582,2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1426698,4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1446431,9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394876,7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394876,7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3247780,9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1633482,9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398559,2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425985,4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394876,7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394876,7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2926685,0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878099,3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1028139,2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1020446,5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0,00»;</w:t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строки: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7"/>
        <w:gridCol w:w="2126"/>
        <w:gridCol w:w="1417"/>
        <w:gridCol w:w="1559"/>
        <w:gridCol w:w="1417"/>
        <w:gridCol w:w="1276"/>
        <w:gridCol w:w="1276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«Финансовое обеспечение уставной деятельности некоммерческой организации - фонда «Региональный опера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7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117650,1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13777,1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11021,7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8266,3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42292,5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заменить строками: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4543"/>
        <w:gridCol w:w="2268"/>
        <w:gridCol w:w="1276"/>
        <w:gridCol w:w="1559"/>
        <w:gridCol w:w="1417"/>
        <w:gridCol w:w="1276"/>
        <w:gridCol w:w="1276"/>
        <w:gridCol w:w="1134"/>
      </w:tblGrid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 «Финансовое обеспечение уставной деятельности некоммерческой организации - фонда «Региональный операт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121250,1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11021,7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121250,1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11021,7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1 «Имущественный взнос в некоммерческую организацию «Региональный оператор по проведению капитального ремонта многоквартирных домов Еврейской автономной области»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121250,1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11021,7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121250,1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11021,7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42292,5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58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4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0,0»;</w:t>
            </w:r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строку: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2126"/>
        <w:gridCol w:w="1276"/>
        <w:gridCol w:w="1559"/>
        <w:gridCol w:w="1417"/>
        <w:gridCol w:w="1276"/>
        <w:gridCol w:w="1276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«Мероприятие 4 «Технологическое присоединение к инженерным сетям водоснабжения, водоотведения, электроснабжения площадки «ДВ КВАРТАЛ» (ТОР «Амуро-Хинганская»)»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765324,7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445013,8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103113,9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217197,0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18513,1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4450,1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13031,8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746811,6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440563,7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102082,7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204165,2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заменить строками: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4685"/>
        <w:gridCol w:w="2126"/>
        <w:gridCol w:w="1276"/>
        <w:gridCol w:w="1559"/>
        <w:gridCol w:w="1276"/>
        <w:gridCol w:w="1417"/>
        <w:gridCol w:w="1276"/>
        <w:gridCol w:w="1134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«Мероприятие 4 «Технологическое присоединение к инженерным сетям водоснабжения, водоотведения, электроснабжения площадки «ДВ КВАРТАЛ» (ТОР «Амуро-Хинганская»)»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765324,7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445013,8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103113,9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217197,0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18513,1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4450,1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746811,6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440563,7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102082,7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204165,2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4.1 «Технологическое присоединение к инженерным сетям водоснабжения, водоотведения, площадки «ДВ КВАРТАЛ» (ТОР «Амуро-Хинганская»)»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50618,7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33867,9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15760,8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4.2 «Технологическое присоединение к инженерным сетям  электроснабжения площадки «ДВ КВАРТАЛ» (ТОР «Амуро-Хинганская»)»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714194,7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410803,8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102113,9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201277,0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12872,6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696192,9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406695,8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101092,7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188404,4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0,0»;</w:t>
            </w:r>
            <w:r/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подраздел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4.3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«4.3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en-US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2131"/>
        <w:gridCol w:w="1276"/>
        <w:gridCol w:w="1417"/>
        <w:gridCol w:w="1134"/>
        <w:gridCol w:w="1134"/>
        <w:gridCol w:w="992"/>
        <w:gridCol w:w="1417"/>
      </w:tblGrid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Источники и направления расходов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 Расходы (тыс. рублей), годы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Всего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в том числе по годам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2028 год*</w:t>
            </w:r>
            <w:r/>
          </w:p>
        </w:tc>
      </w:tr>
    </w:tbl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</w:r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2133"/>
        <w:gridCol w:w="1276"/>
        <w:gridCol w:w="1417"/>
        <w:gridCol w:w="1134"/>
        <w:gridCol w:w="1134"/>
        <w:gridCol w:w="992"/>
        <w:gridCol w:w="1417"/>
      </w:tblGrid>
      <w:tr>
        <w:tblPrEx/>
        <w:trPr>
          <w:trHeight w:val="315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</w:tr>
      <w:tr>
        <w:tblPrEx/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vMerge w:val="restart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2 926 685,0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878099,3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1028139,2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1020446,5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3 24</w:t>
            </w:r>
            <w:r>
              <w:rPr>
                <w:lang w:val="en-US"/>
              </w:rPr>
              <w:t xml:space="preserve">7780</w:t>
            </w:r>
            <w:r>
              <w:rPr>
                <w:lang w:val="ru-RU"/>
              </w:rPr>
              <w:t xml:space="preserve">,</w:t>
            </w:r>
            <w:r>
              <w:rPr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1 63</w:t>
            </w:r>
            <w:r>
              <w:rPr>
                <w:lang w:val="en-US"/>
              </w:rPr>
              <w:t xml:space="preserve">3482.9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398 559,2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425 985,4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394 876,7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394 876,7</w:t>
            </w:r>
            <w:r/>
          </w:p>
        </w:tc>
      </w:tr>
      <w:tr>
        <w:tblPrEx/>
        <w:trPr>
          <w:trHeight w:val="4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textDirection w:val="lrTb"/>
            <w:noWrap w:val="false"/>
          </w:tcPr>
          <w:p>
            <w:pPr>
              <w:jc w:val="center"/>
            </w:pPr>
            <w:r>
              <w:t xml:space="preserve">Капитальные вложения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2179873</w:t>
            </w:r>
            <w:r>
              <w:rPr>
                <w:lang w:val="ru-RU"/>
              </w:rPr>
              <w:t xml:space="preserve">,</w:t>
            </w:r>
            <w:r>
              <w:rPr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437535</w:t>
            </w:r>
            <w:r>
              <w:rPr>
                <w:lang w:val="ru-RU"/>
              </w:rPr>
              <w:t xml:space="preserve">,</w:t>
            </w:r>
            <w:r>
              <w:rPr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926056,5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816281,3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615311</w:t>
            </w:r>
            <w:r>
              <w:rPr>
                <w:lang w:val="ru-RU"/>
              </w:rPr>
              <w:t xml:space="preserve">,</w:t>
            </w:r>
            <w:r>
              <w:rPr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553854</w:t>
            </w:r>
            <w:r>
              <w:rPr>
                <w:lang w:val="ru-RU"/>
              </w:rPr>
              <w:t xml:space="preserve">,</w:t>
            </w:r>
            <w:r>
              <w:rPr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9354,1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52103,1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5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textDirection w:val="lrTb"/>
            <w:noWrap w:val="false"/>
          </w:tcPr>
          <w:p>
            <w:pPr>
              <w:jc w:val="center"/>
            </w:pPr>
            <w:r>
              <w:t xml:space="preserve">НИОКР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textDirection w:val="lrTb"/>
            <w:noWrap w:val="false"/>
          </w:tcPr>
          <w:p>
            <w:pPr>
              <w:jc w:val="center"/>
            </w:pPr>
            <w:r>
              <w:t xml:space="preserve">Прочие расходы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746811</w:t>
            </w:r>
            <w:r>
              <w:rPr>
                <w:lang w:val="ru-RU"/>
              </w:rPr>
              <w:t xml:space="preserve">,</w:t>
            </w:r>
            <w:r>
              <w:rPr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440563</w:t>
            </w:r>
            <w:r>
              <w:rPr>
                <w:lang w:val="ru-RU"/>
              </w:rPr>
              <w:t xml:space="preserve">,</w:t>
            </w:r>
            <w:r>
              <w:rPr>
                <w:lang w:val="en-US"/>
              </w:rPr>
              <w:t xml:space="preserve">7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102082,7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204165,2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en-US"/>
              </w:rPr>
              <w:t xml:space="preserve">2632469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en-US"/>
              </w:rPr>
              <w:t xml:space="preserve">1079628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389205,1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373882,3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394876,7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394876,7</w:t>
            </w:r>
            <w:r/>
          </w:p>
        </w:tc>
      </w:tr>
      <w:tr>
        <w:tblPrEx/>
        <w:trPr>
          <w:trHeight w:val="3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3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sz w:val="24"/>
          <w:szCs w:val="24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t xml:space="preserve">»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jc w:val="both"/>
      </w:pPr>
      <w:r>
        <w:rPr>
          <w:sz w:val="28"/>
        </w:rPr>
        <w:t xml:space="preserve">Губернатор области </w:t>
        <w:tab/>
        <w:tab/>
        <w:tab/>
        <w:tab/>
        <w:tab/>
        <w:tab/>
        <w:tab/>
        <w:t xml:space="preserve">   Р.Э. Гольдштейн</w:t>
      </w:r>
      <w:r/>
    </w:p>
    <w:p>
      <w:pPr>
        <w:pStyle w:val="917"/>
        <w:jc w:val="both"/>
        <w:rPr>
          <w:sz w:val="28"/>
        </w:rPr>
      </w:pPr>
      <w:r>
        <w:rPr>
          <w:rFonts w:ascii="Times New Roman" w:hAnsi="Times New Roman" w:cs="Times New Roman"/>
          <w:sz w:val="28"/>
          <w:lang w:val="ru-RU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spacing w:before="0" w:after="0" w:line="240" w:lineRule="auto"/>
        <w:rPr>
          <w:sz w:val="24"/>
          <w:szCs w:val="24"/>
          <w:highlight w:val="none"/>
        </w:rPr>
        <w:outlineLvl w:val="3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sz w:val="24"/>
          <w:szCs w:val="24"/>
          <w:highlight w:val="none"/>
        </w:rPr>
        <w:outlineLvl w:val="3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sz w:val="24"/>
          <w:szCs w:val="24"/>
          <w:highlight w:val="none"/>
        </w:rPr>
        <w:outlineLvl w:val="3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MS Mincho">
    <w:panose1 w:val="0202060904020508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right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</w:pPr>
    <w:fldSimple w:instr="PAGE \* MERGEFORMAT">
      <w:r>
        <w:t xml:space="preserve">1</w:t>
      </w:r>
    </w:fldSimple>
    <w:r/>
    <w:r/>
  </w:p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9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tabs>
        <w:tab w:val="clear" w:pos="7143" w:leader="none"/>
        <w:tab w:val="left" w:pos="8306" w:leader="none"/>
        <w:tab w:val="clear" w:pos="14287" w:leader="none"/>
      </w:tabs>
    </w:pPr>
    <w:r>
      <w:rPr>
        <w:lang w:val="en-US"/>
      </w:rPr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4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>
    <w:name w:val="Heading 1"/>
    <w:basedOn w:val="917"/>
    <w:next w:val="917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0">
    <w:name w:val="Heading 1 Char"/>
    <w:link w:val="739"/>
    <w:uiPriority w:val="9"/>
    <w:rPr>
      <w:rFonts w:ascii="Arial" w:hAnsi="Arial" w:eastAsia="Arial" w:cs="Arial"/>
      <w:sz w:val="40"/>
      <w:szCs w:val="40"/>
    </w:rPr>
  </w:style>
  <w:style w:type="paragraph" w:styleId="741">
    <w:name w:val="Heading 2"/>
    <w:basedOn w:val="917"/>
    <w:next w:val="917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link w:val="741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7"/>
    <w:next w:val="917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7"/>
    <w:next w:val="917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7"/>
    <w:next w:val="917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7"/>
    <w:next w:val="917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7"/>
    <w:next w:val="917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7"/>
    <w:next w:val="917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7"/>
    <w:next w:val="917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7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7"/>
    <w:next w:val="917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7"/>
    <w:next w:val="917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7"/>
    <w:next w:val="917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7"/>
    <w:next w:val="917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paragraph" w:styleId="767">
    <w:name w:val="Header"/>
    <w:basedOn w:val="917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Header Char"/>
    <w:link w:val="767"/>
    <w:uiPriority w:val="99"/>
  </w:style>
  <w:style w:type="paragraph" w:styleId="769">
    <w:name w:val="Footer"/>
    <w:basedOn w:val="917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Footer Char"/>
    <w:link w:val="769"/>
    <w:uiPriority w:val="99"/>
  </w:style>
  <w:style w:type="paragraph" w:styleId="771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769"/>
    <w:uiPriority w:val="99"/>
  </w:style>
  <w:style w:type="table" w:styleId="7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1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next w:val="917"/>
    <w:link w:val="917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918">
    <w:name w:val="Заголовок 1"/>
    <w:basedOn w:val="917"/>
    <w:next w:val="917"/>
    <w:link w:val="922"/>
    <w:uiPriority w:val="9"/>
    <w:qFormat/>
    <w:pPr>
      <w:keepNext/>
      <w:outlineLvl w:val="0"/>
    </w:pPr>
    <w:rPr>
      <w:lang w:val="en-US"/>
    </w:rPr>
  </w:style>
  <w:style w:type="character" w:styleId="919">
    <w:name w:val="Основной шрифт абзаца"/>
    <w:next w:val="919"/>
    <w:link w:val="917"/>
    <w:uiPriority w:val="1"/>
    <w:semiHidden/>
    <w:unhideWhenUsed/>
  </w:style>
  <w:style w:type="table" w:styleId="920">
    <w:name w:val="Обычная таблица"/>
    <w:next w:val="920"/>
    <w:link w:val="917"/>
    <w:uiPriority w:val="99"/>
    <w:semiHidden/>
    <w:unhideWhenUsed/>
    <w:qFormat/>
    <w:tblPr/>
  </w:style>
  <w:style w:type="numbering" w:styleId="921">
    <w:name w:val="Нет списка"/>
    <w:next w:val="921"/>
    <w:link w:val="917"/>
    <w:uiPriority w:val="99"/>
    <w:semiHidden/>
    <w:unhideWhenUsed/>
  </w:style>
  <w:style w:type="character" w:styleId="922">
    <w:name w:val="Заголовок 1 Знак"/>
    <w:next w:val="922"/>
    <w:link w:val="918"/>
    <w:uiPriority w:val="9"/>
    <w:rPr>
      <w:rFonts w:ascii="Times New Roman" w:hAnsi="Times New Roman" w:cs="Times New Roman"/>
      <w:sz w:val="24"/>
      <w:szCs w:val="24"/>
      <w:lang w:eastAsia="ru-RU"/>
    </w:rPr>
  </w:style>
  <w:style w:type="paragraph" w:styleId="923">
    <w:name w:val="Основной текст 2"/>
    <w:basedOn w:val="917"/>
    <w:next w:val="923"/>
    <w:link w:val="924"/>
    <w:uiPriority w:val="99"/>
    <w:pPr>
      <w:jc w:val="both"/>
      <w:spacing w:line="360" w:lineRule="auto"/>
    </w:pPr>
    <w:rPr>
      <w:lang w:val="en-US"/>
    </w:rPr>
  </w:style>
  <w:style w:type="character" w:styleId="924">
    <w:name w:val="Основной текст 2 Знак"/>
    <w:next w:val="924"/>
    <w:link w:val="923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925">
    <w:name w:val="ConsNonformat"/>
    <w:next w:val="925"/>
    <w:link w:val="917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926">
    <w:name w:val="ConsPlusNormal"/>
    <w:next w:val="926"/>
    <w:link w:val="917"/>
    <w:pPr>
      <w:ind w:firstLine="720"/>
    </w:pPr>
    <w:rPr>
      <w:rFonts w:ascii="Arial" w:hAnsi="Arial" w:cs="Arial"/>
      <w:lang w:val="ru-RU" w:eastAsia="ru-RU" w:bidi="ar-SA"/>
    </w:rPr>
  </w:style>
  <w:style w:type="paragraph" w:styleId="927">
    <w:name w:val="ConsPlusTitle"/>
    <w:next w:val="927"/>
    <w:link w:val="917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928">
    <w:name w:val="Верхний колонтитул"/>
    <w:basedOn w:val="917"/>
    <w:next w:val="928"/>
    <w:link w:val="929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29">
    <w:name w:val="Верхний колонтитул Знак"/>
    <w:next w:val="929"/>
    <w:link w:val="92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930">
    <w:name w:val="Номер страницы"/>
    <w:next w:val="930"/>
    <w:link w:val="917"/>
    <w:rPr>
      <w:rFonts w:cs="Times New Roman"/>
    </w:rPr>
  </w:style>
  <w:style w:type="paragraph" w:styleId="931">
    <w:name w:val="ConsPlusNonformat"/>
    <w:next w:val="931"/>
    <w:link w:val="917"/>
    <w:uiPriority w:val="99"/>
    <w:rPr>
      <w:rFonts w:ascii="Courier New" w:hAnsi="Courier New" w:cs="Courier New"/>
      <w:lang w:val="ru-RU" w:eastAsia="ru-RU" w:bidi="ar-SA"/>
    </w:rPr>
  </w:style>
  <w:style w:type="paragraph" w:styleId="932">
    <w:name w:val="Знак Знак Char Char Char Char Char Знак Знак"/>
    <w:basedOn w:val="917"/>
    <w:next w:val="932"/>
    <w:link w:val="91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33">
    <w:name w:val="Основной текст с отступом"/>
    <w:basedOn w:val="917"/>
    <w:next w:val="933"/>
    <w:link w:val="934"/>
    <w:uiPriority w:val="99"/>
    <w:semiHidden/>
    <w:pPr>
      <w:ind w:firstLine="540"/>
      <w:jc w:val="both"/>
    </w:pPr>
    <w:rPr>
      <w:lang w:val="en-US"/>
    </w:rPr>
  </w:style>
  <w:style w:type="character" w:styleId="934">
    <w:name w:val="Основной текст с отступом Знак"/>
    <w:next w:val="934"/>
    <w:link w:val="933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35">
    <w:name w:val="Основной текст с отступом 2"/>
    <w:basedOn w:val="917"/>
    <w:next w:val="935"/>
    <w:link w:val="936"/>
    <w:uiPriority w:val="99"/>
    <w:semiHidden/>
    <w:pPr>
      <w:ind w:firstLine="720"/>
      <w:jc w:val="both"/>
      <w:spacing w:line="360" w:lineRule="auto"/>
    </w:pPr>
    <w:rPr>
      <w:lang w:val="en-US"/>
    </w:rPr>
  </w:style>
  <w:style w:type="character" w:styleId="936">
    <w:name w:val="Основной текст с отступом 2 Знак"/>
    <w:next w:val="936"/>
    <w:link w:val="935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37">
    <w:name w:val="ConsPlusCell"/>
    <w:next w:val="937"/>
    <w:link w:val="917"/>
    <w:pPr>
      <w:widowControl w:val="off"/>
    </w:pPr>
    <w:rPr>
      <w:rFonts w:ascii="Arial" w:hAnsi="Arial" w:cs="Arial"/>
      <w:lang w:val="ru-RU" w:eastAsia="ru-RU" w:bidi="ar-SA"/>
    </w:rPr>
  </w:style>
  <w:style w:type="paragraph" w:styleId="938">
    <w:name w:val="Основной текст с отступом 3"/>
    <w:basedOn w:val="917"/>
    <w:next w:val="938"/>
    <w:link w:val="939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939">
    <w:name w:val="Основной текст с отступом 3 Знак"/>
    <w:next w:val="939"/>
    <w:link w:val="938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940">
    <w:name w:val="ConsNormal"/>
    <w:next w:val="940"/>
    <w:link w:val="91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1">
    <w:name w:val="ConsCell"/>
    <w:next w:val="941"/>
    <w:link w:val="917"/>
    <w:pPr>
      <w:widowControl w:val="off"/>
    </w:pPr>
    <w:rPr>
      <w:rFonts w:ascii="Arial" w:hAnsi="Arial" w:cs="Arial"/>
      <w:lang w:val="ru-RU" w:eastAsia="ru-RU" w:bidi="ar-SA"/>
    </w:rPr>
  </w:style>
  <w:style w:type="paragraph" w:styleId="942">
    <w:name w:val="Заголовок"/>
    <w:basedOn w:val="917"/>
    <w:next w:val="943"/>
    <w:link w:val="917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  <w:lang w:eastAsia="ar-SA"/>
    </w:rPr>
  </w:style>
  <w:style w:type="paragraph" w:styleId="943">
    <w:name w:val="Основной текст"/>
    <w:basedOn w:val="917"/>
    <w:next w:val="943"/>
    <w:link w:val="944"/>
    <w:uiPriority w:val="99"/>
    <w:semiHidden/>
    <w:unhideWhenUsed/>
    <w:pPr>
      <w:spacing w:after="120"/>
    </w:pPr>
    <w:rPr>
      <w:lang w:val="en-US"/>
    </w:rPr>
  </w:style>
  <w:style w:type="character" w:styleId="944">
    <w:name w:val="Основной текст Знак"/>
    <w:next w:val="944"/>
    <w:link w:val="943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45">
    <w:name w:val="Текст выноски"/>
    <w:basedOn w:val="917"/>
    <w:next w:val="945"/>
    <w:link w:val="946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946">
    <w:name w:val="Текст выноски Знак"/>
    <w:next w:val="946"/>
    <w:link w:val="945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47">
    <w:name w:val="Нижний колонтитул"/>
    <w:basedOn w:val="917"/>
    <w:next w:val="947"/>
    <w:link w:val="94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48">
    <w:name w:val="Нижний колонтитул Знак"/>
    <w:next w:val="948"/>
    <w:link w:val="947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949">
    <w:name w:val="Основной текст + Полужирный"/>
    <w:next w:val="949"/>
    <w:link w:val="917"/>
    <w:rPr>
      <w:rFonts w:ascii="Times New Roman" w:hAnsi="Times New Roman"/>
      <w:b/>
      <w:color w:val="000000"/>
      <w:spacing w:val="0"/>
      <w:position w:val="0"/>
      <w:sz w:val="26"/>
      <w:u w:val="none"/>
      <w:lang w:val="ru-RU"/>
    </w:rPr>
  </w:style>
  <w:style w:type="character" w:styleId="950">
    <w:name w:val="Гиперссылка"/>
    <w:next w:val="950"/>
    <w:link w:val="917"/>
    <w:uiPriority w:val="99"/>
    <w:unhideWhenUsed/>
    <w:rPr>
      <w:rFonts w:cs="Times New Roman"/>
      <w:color w:val="0000ff"/>
      <w:u w:val="single"/>
    </w:rPr>
  </w:style>
  <w:style w:type="paragraph" w:styleId="951">
    <w:name w:val="Абзац списка"/>
    <w:basedOn w:val="917"/>
    <w:next w:val="951"/>
    <w:link w:val="91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2">
    <w:name w:val="Без интервала"/>
    <w:next w:val="952"/>
    <w:link w:val="917"/>
    <w:uiPriority w:val="1"/>
    <w:qFormat/>
    <w:rPr>
      <w:rFonts w:cs="Times New Roman"/>
      <w:sz w:val="22"/>
      <w:szCs w:val="22"/>
      <w:lang w:val="ru-RU" w:eastAsia="en-US" w:bidi="ar-SA"/>
    </w:rPr>
  </w:style>
  <w:style w:type="numbering" w:styleId="953">
    <w:name w:val="Нет списка1"/>
    <w:next w:val="921"/>
    <w:link w:val="917"/>
    <w:uiPriority w:val="99"/>
    <w:semiHidden/>
    <w:unhideWhenUsed/>
  </w:style>
  <w:style w:type="table" w:styleId="954">
    <w:name w:val="Сетка таблицы"/>
    <w:basedOn w:val="920"/>
    <w:next w:val="954"/>
    <w:link w:val="917"/>
    <w:uiPriority w:val="59"/>
    <w:rPr>
      <w:rFonts w:cs="Times New Roman"/>
    </w:rPr>
    <w:tblPr/>
  </w:style>
  <w:style w:type="paragraph" w:styleId="955">
    <w:name w:val="ConsPlusTitlePage"/>
    <w:next w:val="955"/>
    <w:link w:val="917"/>
    <w:pPr>
      <w:widowControl w:val="off"/>
    </w:pPr>
    <w:rPr>
      <w:rFonts w:ascii="Tahoma" w:hAnsi="Tahoma" w:cs="Tahoma"/>
      <w:lang w:val="ru-RU" w:eastAsia="ru-RU" w:bidi="ar-SA"/>
    </w:rPr>
  </w:style>
  <w:style w:type="numbering" w:styleId="956">
    <w:name w:val="Нет списка2"/>
    <w:next w:val="921"/>
    <w:link w:val="917"/>
    <w:uiPriority w:val="99"/>
    <w:semiHidden/>
    <w:unhideWhenUsed/>
  </w:style>
  <w:style w:type="character" w:styleId="957">
    <w:name w:val="Просмотренная гиперссылка"/>
    <w:next w:val="957"/>
    <w:link w:val="917"/>
    <w:uiPriority w:val="99"/>
    <w:semiHidden/>
    <w:unhideWhenUsed/>
    <w:rPr>
      <w:color w:val="800080"/>
      <w:u w:val="single"/>
    </w:rPr>
  </w:style>
  <w:style w:type="paragraph" w:styleId="958">
    <w:name w:val="xl65"/>
    <w:basedOn w:val="917"/>
    <w:next w:val="958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9">
    <w:name w:val="xl66"/>
    <w:basedOn w:val="917"/>
    <w:next w:val="959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60">
    <w:name w:val="xl67"/>
    <w:basedOn w:val="917"/>
    <w:next w:val="960"/>
    <w:link w:val="9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1">
    <w:name w:val="xl68"/>
    <w:basedOn w:val="917"/>
    <w:next w:val="961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2">
    <w:name w:val="xl69"/>
    <w:basedOn w:val="917"/>
    <w:next w:val="962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3">
    <w:name w:val="xl70"/>
    <w:basedOn w:val="917"/>
    <w:next w:val="963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64">
    <w:name w:val="xl71"/>
    <w:basedOn w:val="917"/>
    <w:next w:val="964"/>
    <w:link w:val="9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5">
    <w:name w:val="xl72"/>
    <w:basedOn w:val="917"/>
    <w:next w:val="965"/>
    <w:link w:val="91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6">
    <w:name w:val="xl73"/>
    <w:basedOn w:val="917"/>
    <w:next w:val="966"/>
    <w:link w:val="91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7">
    <w:name w:val="xl74"/>
    <w:basedOn w:val="917"/>
    <w:next w:val="967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8">
    <w:name w:val="xl75"/>
    <w:basedOn w:val="917"/>
    <w:next w:val="968"/>
    <w:link w:val="9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9">
    <w:name w:val="xl76"/>
    <w:basedOn w:val="917"/>
    <w:next w:val="969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0">
    <w:name w:val="font5"/>
    <w:basedOn w:val="917"/>
    <w:next w:val="970"/>
    <w:link w:val="917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971">
    <w:name w:val="font6"/>
    <w:basedOn w:val="917"/>
    <w:next w:val="971"/>
    <w:link w:val="917"/>
    <w:pPr>
      <w:spacing w:before="100" w:beforeAutospacing="1" w:after="100" w:afterAutospacing="1"/>
    </w:pPr>
    <w:rPr>
      <w:color w:val="000000"/>
    </w:rPr>
  </w:style>
  <w:style w:type="paragraph" w:styleId="972">
    <w:name w:val="xl77"/>
    <w:basedOn w:val="917"/>
    <w:next w:val="972"/>
    <w:link w:val="91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3">
    <w:name w:val="xl78"/>
    <w:basedOn w:val="917"/>
    <w:next w:val="973"/>
    <w:link w:val="9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4">
    <w:name w:val="xl79"/>
    <w:basedOn w:val="917"/>
    <w:next w:val="974"/>
    <w:link w:val="91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75">
    <w:name w:val="xl80"/>
    <w:basedOn w:val="917"/>
    <w:next w:val="975"/>
    <w:link w:val="91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6">
    <w:name w:val="xl81"/>
    <w:basedOn w:val="917"/>
    <w:next w:val="976"/>
    <w:link w:val="91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7">
    <w:name w:val="xl82"/>
    <w:basedOn w:val="917"/>
    <w:next w:val="977"/>
    <w:link w:val="91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8">
    <w:name w:val="xl83"/>
    <w:basedOn w:val="917"/>
    <w:next w:val="978"/>
    <w:link w:val="9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9">
    <w:name w:val="xl84"/>
    <w:basedOn w:val="917"/>
    <w:next w:val="979"/>
    <w:link w:val="91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80">
    <w:name w:val="xl85"/>
    <w:basedOn w:val="917"/>
    <w:next w:val="980"/>
    <w:link w:val="91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1">
    <w:name w:val="xl86"/>
    <w:basedOn w:val="917"/>
    <w:next w:val="981"/>
    <w:link w:val="9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982">
    <w:name w:val="xl87"/>
    <w:basedOn w:val="917"/>
    <w:next w:val="982"/>
    <w:link w:val="91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3">
    <w:name w:val="xl88"/>
    <w:basedOn w:val="917"/>
    <w:next w:val="983"/>
    <w:link w:val="9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character" w:styleId="984" w:default="1">
    <w:name w:val="Default Paragraph Font"/>
    <w:uiPriority w:val="1"/>
    <w:semiHidden/>
    <w:unhideWhenUsed/>
  </w:style>
  <w:style w:type="numbering" w:styleId="985" w:default="1">
    <w:name w:val="No List"/>
    <w:uiPriority w:val="99"/>
    <w:semiHidden/>
    <w:unhideWhenUsed/>
  </w:style>
  <w:style w:type="table" w:styleId="9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revision>62</cp:revision>
  <dcterms:created xsi:type="dcterms:W3CDTF">2023-01-09T02:29:00Z</dcterms:created>
  <dcterms:modified xsi:type="dcterms:W3CDTF">2024-10-17T06:37:58Z</dcterms:modified>
  <cp:version>786432</cp:version>
</cp:coreProperties>
</file>